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b/>
          <w:color w:val="auto"/>
          <w:spacing w:val="0"/>
          <w:position w:val="0"/>
          <w:sz w:val="24"/>
          <w:shd w:fill="auto" w:val="clear"/>
        </w:rPr>
        <w:t xml:space="preserve">танок радиально сверлильный 2Н55 </w:t>
      </w:r>
      <w:r>
        <w:rPr>
          <w:rFonts w:ascii="Times New Roman" w:hAnsi="Times New Roman" w:cs="Times New Roman" w:eastAsia="Times New Roman"/>
          <w:color w:val="auto"/>
          <w:spacing w:val="0"/>
          <w:position w:val="0"/>
          <w:sz w:val="24"/>
          <w:shd w:fill="auto" w:val="clear"/>
        </w:rPr>
        <w:t xml:space="preserve"> предназначен для сверления, рассверливания, зенкерования, развертывания, растачивания отверстий, нарезания резьбы метчиками, подрезки торцов резцом, а также выполнения других аналогичных операций при обработке различных корпусных деталей. </w:t>
        <w:br/>
        <w:br/>
        <w:t xml:space="preserve">Станок имеет двухколонную компоновку станочной части, что позволяет создать жесткую конструкцию узла, не допускающую смещение оси шпинделя при зажиме колонны. Специальный зажим колонны центрального типа создает тормозной момент, гарантирующий высокопроизводительное сверление. </w:t>
        <w:br/>
        <w:br/>
        <w:t xml:space="preserve">Для поворота колонны требуется незначительное усилие на самом малом радиусе сверления, что также обеспечивает высокую производительность работы и снижает утомляемость оператора. </w:t>
        <w:br/>
        <w:br/>
        <w:t xml:space="preserve">Широкий диапазон чисел оборотов и подач шпинделя обеспечивает высокопроизводительную работу при любых сочетаниях обрабатываемых материалов, инструмента, размера и т.д. </w:t>
        <w:br/>
        <w:br/>
        <w:t xml:space="preserve">Преселективное дистанционное электрогидравлическое устройство позволяет менять режимы с предварительным их набором. Станок имеет механизм автоматического выключения при достижении заданной глубины сверления. Уравновешивание шпинделя обеспечивается специальным противовесом, допускающим удобную регулировку с рабочего места в случае изменения массы инструмента.</w:t>
        <w:br/>
        <w:br/>
      </w:r>
      <w:r>
        <w:rPr>
          <w:rFonts w:ascii="Times New Roman" w:hAnsi="Times New Roman" w:cs="Times New Roman" w:eastAsia="Times New Roman"/>
          <w:b/>
          <w:color w:val="auto"/>
          <w:spacing w:val="0"/>
          <w:position w:val="0"/>
          <w:sz w:val="24"/>
          <w:shd w:fill="auto" w:val="clear"/>
        </w:rPr>
        <w:t xml:space="preserve">Станок снят с производства</w:t>
      </w: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b/>
          <w:color w:val="auto"/>
          <w:spacing w:val="0"/>
          <w:position w:val="0"/>
          <w:sz w:val="24"/>
          <w:shd w:fill="auto" w:val="clear"/>
        </w:rPr>
        <w:t xml:space="preserve">Технические характеристики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918"/>
        <w:gridCol w:w="1547"/>
      </w:tblGrid>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Характеристика</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Н55</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Наибольший диаметр сверления в стали средней твердости, мм</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Вылет шпинделя (расстояние от оси шпинделя до образующей колонны), мм.</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450 - 1500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Расстояние от нижнего торца шпинделя до плиты, мм.</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470 - 1500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Наибольшее вертикальное перемещение рукава по колонне,</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Наибольшее осевое перемещение шпинделя, мм.</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Конус шпинделя</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Морзе 5</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Наибольший вес инструмента, управляемый противовесом при наибольшей допускаемой затяжке, кг.</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скоростей вращения шпинделя</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Пределы чисел оборотов в минуту</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30 - 1700</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Мощность электродвигателя привода шпинделя, кВт.</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Мощность электродвигателя перемещения рукава, кВт.</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Габариты станка, мм.</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2625 </w:t>
            </w:r>
            <w:r>
              <w:rPr>
                <w:rFonts w:ascii="Times New Roman" w:hAnsi="Times New Roman" w:cs="Times New Roman" w:eastAsia="Times New Roman"/>
                <w:color w:val="auto"/>
                <w:spacing w:val="0"/>
                <w:position w:val="0"/>
                <w:sz w:val="24"/>
                <w:shd w:fill="auto" w:val="clear"/>
              </w:rPr>
              <w:t xml:space="preserve">х 968 х 3265</w:t>
            </w:r>
          </w:p>
        </w:tc>
      </w:tr>
      <w:tr>
        <w:trPr>
          <w:trHeight w:val="1" w:hRule="atLeast"/>
          <w:jc w:val="left"/>
        </w:trPr>
        <w:tc>
          <w:tcPr>
            <w:tcW w:w="7918"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Вес станка, кг.</w:t>
            </w:r>
          </w:p>
        </w:tc>
        <w:tc>
          <w:tcPr>
            <w:tcW w:w="1547" w:type="dxa"/>
            <w:tcBorders>
              <w:top w:val="single" w:color="000000" w:sz="4"/>
              <w:left w:val="single" w:color="000000" w:sz="4"/>
              <w:bottom w:val="single" w:color="000000" w:sz="4"/>
              <w:right w:val="single" w:color="000000" w:sz="4"/>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4100</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